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" w:right="0" w:hanging="5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645025" cy="799465"/>
            <wp:effectExtent b="0" l="0" r="0" t="0"/>
            <wp:docPr descr="Immagine che contiene testo, dispositivo, manometro, scuro&#10;&#10;Descrizione generata automaticamente" id="2" name="image1.png"/>
            <a:graphic>
              <a:graphicData uri="http://schemas.openxmlformats.org/drawingml/2006/picture">
                <pic:pic>
                  <pic:nvPicPr>
                    <pic:cNvPr descr="Immagine che contiene testo, dispositivo, manometro, scuro&#10;&#10;Descrizione generata automaticament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45025" cy="7994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PIANO NAZIONALE DI RIPRESA E RESILIENZA (PNRR)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MISSIONE 4: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istruzione e ricerca.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Componente 1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– Potenziamento dell’offerta dei servizi di istruzione: dagli asili nido alle università.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Investimento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.3:   </w:t>
      </w:r>
      <w:r w:rsidDel="00000000" w:rsidR="00000000" w:rsidRPr="00000000">
        <w:rPr>
          <w:rFonts w:ascii="Arial" w:cs="Arial" w:eastAsia="Arial" w:hAnsi="Arial"/>
          <w:rtl w:val="0"/>
        </w:rPr>
        <w:t xml:space="preserve">Piano per le infrastrutture per lo sport nelle scuole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finanziato dall’Unione europea – Next Generation EU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CUP </w:t>
      </w:r>
      <w:r w:rsidDel="00000000" w:rsidR="00000000" w:rsidRPr="00000000">
        <w:rPr>
          <w:rFonts w:ascii="Arial" w:cs="Arial" w:eastAsia="Arial" w:hAnsi="Arial"/>
          <w:rtl w:val="0"/>
        </w:rPr>
        <w:t xml:space="preserve">B45E22000000006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hanging="2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Soggetto Attuatore e Stazione Appaltante: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676910" cy="914400"/>
            <wp:effectExtent b="0" l="0" r="0" t="0"/>
            <wp:docPr descr="Immagine che contiene testo, clipart, porcellana&#10;&#10;Descrizione generata automaticamente" id="4" name="image3.png"/>
            <a:graphic>
              <a:graphicData uri="http://schemas.openxmlformats.org/drawingml/2006/picture">
                <pic:pic>
                  <pic:nvPicPr>
                    <pic:cNvPr descr="Immagine che contiene testo, clipart, porcellana&#10;&#10;Descrizione generata automaticamente"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76910" cy="914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" w:right="0" w:hanging="5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COMUNE DI GENAZZANO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Città Metropolitana di Roma Capitale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PIAZZA SANTA MARIA, 4 - CAP 00030 - TEL 06.95.57.91 - TELEFAX 06.95.79.027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**********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Centrale Unica di Committenza: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6122035" cy="865505"/>
            <wp:effectExtent b="0" l="0" r="0" t="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22035" cy="8655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17161a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DICHIARAZIONE SULL’APPLICAZIONE DEL PRINCIPIO “NON ARRECARE UN DANNO SIGNIFICATIVO” (“DO NO SIGNIFICANT HARM” – DNSH), AI SENSI DELL’ARTICOLO 17 DEL REGOLAMENTO (UE) 2020/852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75" w:right="0" w:firstLine="72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ALLA </w:t>
        <w:tab/>
        <w:t xml:space="preserve">CENTRALE UNICA DI COMMITTENZA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CONSORZIO I CASTELLI DELLA SAPIENZA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20" w:right="0" w:hanging="1.000000000000227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Piazza Umberto Pilozzi n. 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20" w:right="0" w:hanging="1.000000000000227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00038 Valmontone (Roma)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" w:right="0" w:hanging="2.0000000000000004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ALLA </w:t>
        <w:tab/>
        <w:t xml:space="preserve">STAZIONE APPALTANTE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" w:right="0" w:hanging="2.000000000000000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COMUNE DI GENAZZANO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" w:right="0" w:hanging="2.000000000000000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Piazza Santa Maria n. 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00030 Genazzano (Roma)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Oggetto: </w:t>
      </w:r>
      <w:r w:rsidDel="00000000" w:rsidR="00000000" w:rsidRPr="00000000">
        <w:rPr>
          <w:rFonts w:ascii="Arial" w:cs="Arial" w:eastAsia="Arial" w:hAnsi="Arial"/>
          <w:rtl w:val="0"/>
        </w:rPr>
        <w:t xml:space="preserve">Procedura negoziata, senza bando, per l’appalto di lavori di riqualificazione e messa in sicurezza del corpo palestra della scuola media C. Marchesi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rtl w:val="0"/>
        </w:rPr>
        <w:t xml:space="preserve">per l’attuazione di PNRR, MISSIONE 4,  Componente 1, Investimento 1.3 finanziato dall’Unione europea – Next Generation EU. </w:t>
      </w:r>
    </w:p>
    <w:p w:rsidR="00000000" w:rsidDel="00000000" w:rsidP="00000000" w:rsidRDefault="00000000" w:rsidRPr="00000000" w14:paraId="0000001F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(art. 50, comma 1, lett. c) della D.Lgs.n.36/2023)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CUP B45E22000000006 CIG A03849B4D3</w:t>
      </w:r>
    </w:p>
    <w:p w:rsidR="00000000" w:rsidDel="00000000" w:rsidP="00000000" w:rsidRDefault="00000000" w:rsidRPr="00000000" w14:paraId="00000021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Importo complessivo dell’appalto euro 340.000,00 </w:t>
      </w:r>
      <w:r w:rsidDel="00000000" w:rsidR="00000000" w:rsidRPr="00000000">
        <w:rPr>
          <w:rFonts w:ascii="Arial" w:cs="Arial" w:eastAsia="Arial" w:hAnsi="Arial"/>
          <w:rtl w:val="0"/>
        </w:rPr>
        <w:t xml:space="preserve">oltre IVA.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9"/>
        </w:tabs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sottoscritto ……...………………………………………………………………………………………………………. nato il ……/……/………… a …………..………………… residente nel Comune di ………………………… (….) Stato ……….......…………….. Via/Piazza ………….......................................................……………… n. ……. in qualità di …………….................................................................……………………....………………………….. della Ditta ............................…........................................................……………………..………. avente sede legale in …………………..................…… nel Comune di …………………......................…...........……. (…..) Via/Piazza …………………........................................................................………………..........……… n......... e-mail ....................................................................... - PEC: ………………………………………………………. telefono n. ……………………..................……… Codice Fiscale ………………..................……………………… Partita IVA n. …………………..........................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9"/>
        </w:tabs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ai sensi del d.P.R. n. 445/2000 e consapevole del fatto che, in caso di dichiarazione mendace, verranno applicate nei propri riguardi, ai sensi dell'art. 76 del d.P.R. n. 445/2000, le sanzioni previste dal codice penale e dalle leggi speciali in materia di falsità negli atti;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360" w:line="36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17161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7161a"/>
          <w:sz w:val="24"/>
          <w:szCs w:val="24"/>
          <w:u w:val="none"/>
          <w:shd w:fill="auto" w:val="clear"/>
          <w:vertAlign w:val="baseline"/>
          <w:rtl w:val="0"/>
        </w:rPr>
        <w:t xml:space="preserve">DICHIARA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284" w:right="0" w:hanging="284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1fob9te" w:id="2"/>
      <w:bookmarkEnd w:id="2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che l’esecuzione dei lavori sarà conforme agli Orientamenti tecnici della Commissione Europea (2021/ C 58/01) sull’applicazione del principio “non arrecare un danno significativo” (“Do no significant harm” – DNSH) ai sensi dell’articolo 17 del Regolamento (UE) 2020/852;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hanging="284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3znysh7" w:id="3"/>
      <w:bookmarkEnd w:id="3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 attenersi alla documentazione come indicata all’interno della Scheda Tecnica della Guida Operativa del MEF sull’applicazione del principio DNSH e nei vari Quaderni operativi che compongono il Vademecum IFEL sul DNSH;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hanging="284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 impegnarsi altresì a conservare in originale sino all'integrale rimborso del finanziamento tutta la documentazione relativa alle spese ammissibili e, a richiesta, a fornire tale documentazione entro 15 (quindici) giorni, ai fini dei controlli effettuati dagli organi competenti, in sede di verifica di conformità sul principio DNSH.</w:t>
      </w:r>
    </w:p>
    <w:bookmarkStart w:colFirst="0" w:colLast="0" w:name="bookmark=id.2et92p0" w:id="4"/>
    <w:bookmarkEnd w:id="4"/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9"/>
        </w:tabs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……………………. </w:t>
      </w:r>
      <w:bookmarkStart w:colFirst="0" w:colLast="0" w:name="bookmark=id.tyjcwt" w:id="5"/>
      <w:bookmarkEnd w:id="5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lì 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240" w:line="276" w:lineRule="auto"/>
        <w:ind w:left="6390" w:right="0" w:firstLine="9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Legale Rappresentante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 xml:space="preserve">Firmato Digitalmente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2286000</wp:posOffset>
                </wp:positionH>
                <wp:positionV relativeFrom="paragraph">
                  <wp:posOffset>165100</wp:posOffset>
                </wp:positionV>
                <wp:extent cx="937260" cy="92392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882133" y="3322800"/>
                          <a:ext cx="927735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-283.99999618530273" w:right="-188.99999618530273" w:firstLine="0"/>
                              <w:jc w:val="center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-283.99999618530273" w:right="-188.99999618530273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Timbro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Liberation Serif" w:cs="Liberation Serif" w:eastAsia="Liberation Serif" w:hAnsi="Liberation Serif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2286000</wp:posOffset>
                </wp:positionH>
                <wp:positionV relativeFrom="paragraph">
                  <wp:posOffset>165100</wp:posOffset>
                </wp:positionV>
                <wp:extent cx="937260" cy="923925"/>
                <wp:effectExtent b="0" l="0" r="0" t="0"/>
                <wp:wrapNone/>
                <wp:docPr id="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7260" cy="923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bookmarkStart w:colFirst="0" w:colLast="0" w:name="bookmark=id.3dy6vkm" w:id="6"/>
    <w:bookmarkEnd w:id="6"/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096"/>
        </w:tabs>
        <w:spacing w:after="0" w:before="0" w:line="240" w:lineRule="auto"/>
        <w:ind w:left="0" w:right="0" w:firstLine="567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............................................................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0" w:line="360" w:lineRule="auto"/>
        <w:ind w:left="5529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17161a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9"/>
        </w:tabs>
        <w:spacing w:after="0" w:before="0" w:line="36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headerReference r:id="rId13" w:type="even"/>
      <w:footerReference r:id="rId14" w:type="default"/>
      <w:footerReference r:id="rId15" w:type="first"/>
      <w:footerReference r:id="rId16" w:type="even"/>
      <w:pgSz w:h="16838" w:w="11906" w:orient="portrait"/>
      <w:pgMar w:bottom="1134" w:top="1418" w:left="1134" w:right="1134" w:header="284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image" Target="media/image4.png"/><Relationship Id="rId13" Type="http://schemas.openxmlformats.org/officeDocument/2006/relationships/header" Target="header1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5" Type="http://schemas.openxmlformats.org/officeDocument/2006/relationships/footer" Target="footer1.xml"/><Relationship Id="rId14" Type="http://schemas.openxmlformats.org/officeDocument/2006/relationships/footer" Target="footer2.xml"/><Relationship Id="rId16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Z00n0vOr9ZXpAOw6FV3Gux3SKA==">CgMxLjAyCGguZ2pkZ3hzMgloLjMwajB6bGwyCWguMWZvYjl0ZTIJaC4zem55c2g3MgppZC4yZXQ5MnAwMglpZC50eWpjd3QyCmlkLjNkeTZ2a204AHIhMVprb200Tzlfb0txUFlYTWxPdVFWM245b243SWFzRGV0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